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PC-503</w:t>
      </w:r>
    </w:p>
    <w:p>
      <w:pPr>
        <w:spacing w:after="120"/>
      </w:pPr>
      <w:r>
        <w:rPr>
          <w:rFonts w:ascii="Calibri" w:cs="Calibri" w:eastAsia="Calibri" w:hAnsi="Calibri"/>
          <w:b/>
          <w:bCs/>
          <w:color w:val="1F3864"/>
          <w:sz w:val="52"/>
          <w:szCs w:val="52"/>
        </w:rPr>
        <w:t xml:space="preserve">Observer Kit</w:t>
      </w:r>
    </w:p>
    <w:p>
      <w:pPr>
        <w:spacing w:after="100"/>
      </w:pPr>
      <w:r>
        <w:rPr>
          <w:rFonts w:ascii="Calibri" w:cs="Calibri" w:eastAsia="Calibri" w:hAnsi="Calibri"/>
          <w:color w:val="595959"/>
          <w:sz w:val="24"/>
          <w:szCs w:val="24"/>
        </w:rPr>
        <w:t xml:space="preserve">Observer Guide and Note-Taking Template</w:t>
      </w:r>
    </w:p>
    <w:p>
      <w:pPr>
        <w:pBdr>
          <w:bottom w:val="single" w:color="2E74B5" w:sz="8" w:space="6"/>
        </w:pBdr>
        <w:spacing w:after="80"/>
      </w:pPr>
      <w:r>
        <w:rPr>
          <w:rFonts w:ascii="Calibri" w:cs="Calibri" w:eastAsia="Calibri" w:hAnsi="Calibri"/>
          <w:color w:val="595959"/>
          <w:sz w:val="20"/>
          <w:szCs w:val="20"/>
        </w:rPr>
        <w:t xml:space="preserve">Internal .  Practitioner Use Only  |  Version 1.0  |  July 2026</w:t>
      </w:r>
    </w:p>
    <w:p>
      <w:pPr>
        <w:spacing w:after="160"/>
      </w:pPr>
    </w:p>
    <w:p>
      <w:pPr>
        <w:spacing w:after="120" w:before="0" w:line="276"/>
      </w:pPr>
      <w:r>
        <w:rPr>
          <w:rFonts w:ascii="Calibri" w:cs="Calibri" w:eastAsia="Calibri" w:hAnsi="Calibri"/>
          <w:color w:val="404040"/>
          <w:sz w:val="21"/>
          <w:szCs w:val="21"/>
        </w:rPr>
        <w:t xml:space="preserve">This kit contains everything the observer needs for a Pulse Check. </w:t>
      </w:r>
      <w:r>
        <w:rPr>
          <w:rFonts w:ascii="Calibri" w:cs="Calibri" w:eastAsia="Calibri" w:hAnsi="Calibri"/>
          <w:b/>
          <w:bCs/>
          <w:color w:val="404040"/>
          <w:sz w:val="21"/>
          <w:szCs w:val="21"/>
        </w:rPr>
        <w:t xml:space="preserve">Part 1</w:t>
      </w:r>
      <w:r>
        <w:rPr>
          <w:rFonts w:ascii="Calibri" w:cs="Calibri" w:eastAsia="Calibri" w:hAnsi="Calibri"/>
          <w:color w:val="404040"/>
          <w:sz w:val="21"/>
          <w:szCs w:val="21"/>
        </w:rPr>
        <w:t xml:space="preserve"> defines the observer's role, responsibilities, observation methodology, ethics, and note handling. </w:t>
      </w:r>
      <w:r>
        <w:rPr>
          <w:rFonts w:ascii="Calibri" w:cs="Calibri" w:eastAsia="Calibri" w:hAnsi="Calibri"/>
          <w:b/>
          <w:bCs/>
          <w:color w:val="404040"/>
          <w:sz w:val="21"/>
          <w:szCs w:val="21"/>
        </w:rPr>
        <w:t xml:space="preserve">Part 2</w:t>
      </w:r>
      <w:r>
        <w:rPr>
          <w:rFonts w:ascii="Calibri" w:cs="Calibri" w:eastAsia="Calibri" w:hAnsi="Calibri"/>
          <w:color w:val="404040"/>
          <w:sz w:val="21"/>
          <w:szCs w:val="21"/>
        </w:rPr>
        <w:t xml:space="preserve"> is the structured note-taking template used during the exercise.</w:t>
      </w:r>
    </w:p>
    <w:p>
      <w:pPr>
        <w:pStyle w:val="Heading1"/>
        <w:keepNext/>
        <w:spacing w:after="140" w:before="320"/>
      </w:pPr>
      <w:r>
        <w:rPr>
          <w:rFonts w:ascii="Calibri" w:cs="Calibri" w:eastAsia="Calibri" w:hAnsi="Calibri"/>
          <w:b/>
          <w:bCs/>
          <w:color w:val="1F3864"/>
          <w:sz w:val="30"/>
          <w:szCs w:val="30"/>
        </w:rPr>
        <w:t xml:space="preserve">Part 1: Observer Guide</w:t>
      </w:r>
    </w:p>
    <w:p>
      <w:pPr>
        <w:spacing w:after="120" w:before="0" w:line="276"/>
      </w:pPr>
      <w:r>
        <w:rPr>
          <w:rFonts w:ascii="Calibri" w:cs="Calibri" w:eastAsia="Calibri" w:hAnsi="Calibri"/>
          <w:color w:val="404040"/>
          <w:sz w:val="21"/>
          <w:szCs w:val="21"/>
        </w:rPr>
        <w:t xml:space="preserve">The observer's notes are the primary data source for AAR findings. The quality of the After-Action Report depends directly on the quality of observation.</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38135" w:sz="24"/>
              <w:bottom w:val="none" w:color="FFFFFF" w:sz="0"/>
              <w:right w:val="none" w:color="FFFFFF" w:sz="0"/>
            </w:tcBorders>
            <w:shd w:fill="E2EFDA" w:val="clear"/>
            <w:tcMar>
              <w:top w:type="dxa" w:w="100"/>
              <w:left w:type="dxa" w:w="160"/>
              <w:bottom w:type="dxa" w:w="100"/>
              <w:right w:type="dxa" w:w="160"/>
            </w:tcMar>
          </w:tcPr>
          <w:p>
            <w:pPr>
              <w:spacing w:after="60"/>
            </w:pPr>
            <w:r>
              <w:rPr>
                <w:rFonts w:ascii="Calibri" w:cs="Calibri" w:eastAsia="Calibri" w:hAnsi="Calibri"/>
                <w:b/>
                <w:bCs/>
                <w:color w:val="538135"/>
                <w:sz w:val="20"/>
                <w:szCs w:val="20"/>
              </w:rPr>
              <w:t xml:space="preserve">✓  QQUALITY STANDARD: The Observer Mandate</w:t>
            </w:r>
          </w:p>
          <w:p>
            <w:pPr>
              <w:spacing w:after="40" w:before="0" w:line="276"/>
            </w:pPr>
            <w:r>
              <w:rPr>
                <w:rFonts w:ascii="Calibri" w:cs="Calibri" w:eastAsia="Calibri" w:hAnsi="Calibri"/>
                <w:color w:val="404040"/>
                <w:sz w:val="20"/>
                <w:szCs w:val="20"/>
              </w:rPr>
              <w:t xml:space="preserve">A dedicated observer is required on every Pulse Check ,  no exceptions. This is a quality floor for the service. The observer does not participate in the exercise discussion. They observe, document, and collect data. This separation ensures objective observation and protects AAR quality.</w:t>
            </w:r>
          </w:p>
        </w:tc>
      </w:tr>
    </w:tbl>
    <w:p>
      <w:pPr>
        <w:spacing w:after="120"/>
      </w:pPr>
    </w:p>
    <w:p>
      <w:pPr>
        <w:pStyle w:val="Heading2"/>
        <w:keepNext/>
        <w:spacing w:after="110" w:before="240"/>
      </w:pPr>
      <w:r>
        <w:rPr>
          <w:rFonts w:ascii="Calibri" w:cs="Calibri" w:eastAsia="Calibri" w:hAnsi="Calibri"/>
          <w:b/>
          <w:bCs/>
          <w:color w:val="2E74B5"/>
          <w:sz w:val="25"/>
          <w:szCs w:val="25"/>
        </w:rPr>
        <w:t xml:space="preserve">Observer Responsibilities</w:t>
      </w:r>
    </w:p>
    <w:p>
      <w:pPr>
        <w:pStyle w:val="Heading3"/>
        <w:keepNext/>
        <w:spacing w:after="90" w:before="200"/>
      </w:pPr>
      <w:r>
        <w:rPr>
          <w:rFonts w:ascii="Calibri" w:cs="Calibri" w:eastAsia="Calibri" w:hAnsi="Calibri"/>
          <w:b/>
          <w:bCs/>
          <w:color w:val="1F3864"/>
          <w:sz w:val="22"/>
          <w:szCs w:val="22"/>
        </w:rPr>
        <w:t xml:space="preserve">Before the Exercise</w:t>
      </w:r>
    </w:p>
    <w:p>
      <w:pPr>
        <w:pStyle w:val="ListParagraph"/>
        <w:numPr>
          <w:ilvl w:val="0"/>
          <w:numId w:val="2"/>
        </w:numPr>
        <w:spacing w:after="80" w:line="276"/>
      </w:pPr>
      <w:r>
        <w:rPr>
          <w:rFonts w:ascii="Calibri" w:cs="Calibri" w:eastAsia="Calibri" w:hAnsi="Calibri"/>
          <w:color w:val="404040"/>
          <w:sz w:val="21"/>
          <w:szCs w:val="21"/>
        </w:rPr>
        <w:t xml:space="preserve">Review the scenario package, MSEL, and inject sequence thoroughly.</w:t>
      </w:r>
    </w:p>
    <w:p>
      <w:pPr>
        <w:pStyle w:val="ListParagraph"/>
        <w:numPr>
          <w:ilvl w:val="0"/>
          <w:numId w:val="2"/>
        </w:numPr>
        <w:spacing w:after="80" w:line="276"/>
      </w:pPr>
      <w:r>
        <w:rPr>
          <w:rFonts w:ascii="Calibri" w:cs="Calibri" w:eastAsia="Calibri" w:hAnsi="Calibri"/>
          <w:color w:val="404040"/>
          <w:sz w:val="21"/>
          <w:szCs w:val="21"/>
        </w:rPr>
        <w:t xml:space="preserve">Review the exercise objectives and understand what each objective is designed to test.</w:t>
      </w:r>
    </w:p>
    <w:p>
      <w:pPr>
        <w:pStyle w:val="ListParagraph"/>
        <w:numPr>
          <w:ilvl w:val="0"/>
          <w:numId w:val="2"/>
        </w:numPr>
        <w:spacing w:after="80" w:line="276"/>
      </w:pPr>
      <w:r>
        <w:rPr>
          <w:rFonts w:ascii="Calibri" w:cs="Calibri" w:eastAsia="Calibri" w:hAnsi="Calibri"/>
          <w:color w:val="404040"/>
          <w:sz w:val="21"/>
          <w:szCs w:val="21"/>
        </w:rPr>
        <w:t xml:space="preserve">Pre-populate the note-taking template (Part 2) with participant names, exercise objectives, and the inject sequence.</w:t>
      </w:r>
    </w:p>
    <w:p>
      <w:pPr>
        <w:pStyle w:val="ListParagraph"/>
        <w:numPr>
          <w:ilvl w:val="0"/>
          <w:numId w:val="2"/>
        </w:numPr>
        <w:spacing w:after="80" w:line="276"/>
      </w:pPr>
      <w:r>
        <w:rPr>
          <w:rFonts w:ascii="Calibri" w:cs="Calibri" w:eastAsia="Calibri" w:hAnsi="Calibri"/>
          <w:color w:val="404040"/>
          <w:sz w:val="21"/>
          <w:szCs w:val="21"/>
        </w:rPr>
        <w:t xml:space="preserve">Coordinate with the facilitator on observation priorities and areas of particular interest.</w:t>
      </w:r>
    </w:p>
    <w:p>
      <w:pPr>
        <w:pStyle w:val="ListParagraph"/>
        <w:numPr>
          <w:ilvl w:val="0"/>
          <w:numId w:val="2"/>
        </w:numPr>
        <w:spacing w:after="80" w:line="276"/>
      </w:pPr>
      <w:r>
        <w:rPr>
          <w:rFonts w:ascii="Calibri" w:cs="Calibri" w:eastAsia="Calibri" w:hAnsi="Calibri"/>
          <w:color w:val="404040"/>
          <w:sz w:val="21"/>
          <w:szCs w:val="21"/>
        </w:rPr>
        <w:t xml:space="preserve">Confirm the seating/camera position provides clear sight lines to all participants.</w:t>
      </w:r>
    </w:p>
    <w:p>
      <w:pPr>
        <w:pStyle w:val="ListParagraph"/>
        <w:numPr>
          <w:ilvl w:val="0"/>
          <w:numId w:val="2"/>
        </w:numPr>
        <w:spacing w:after="80" w:line="276"/>
      </w:pPr>
      <w:r>
        <w:rPr>
          <w:rFonts w:ascii="Calibri" w:cs="Calibri" w:eastAsia="Calibri" w:hAnsi="Calibri"/>
          <w:color w:val="404040"/>
          <w:sz w:val="21"/>
          <w:szCs w:val="21"/>
        </w:rPr>
        <w:t xml:space="preserve">Review the Real Incident During Exercise Protocol (Facilitator Guide, 05 - Deliver folder, Section 7) with the facilitator.</w:t>
      </w:r>
    </w:p>
    <w:p>
      <w:pPr>
        <w:pStyle w:val="Heading3"/>
        <w:keepNext/>
        <w:spacing w:after="90" w:before="200"/>
      </w:pPr>
      <w:r>
        <w:rPr>
          <w:rFonts w:ascii="Calibri" w:cs="Calibri" w:eastAsia="Calibri" w:hAnsi="Calibri"/>
          <w:b/>
          <w:bCs/>
          <w:color w:val="1F3864"/>
          <w:sz w:val="22"/>
          <w:szCs w:val="22"/>
        </w:rPr>
        <w:t xml:space="preserve">During the Exercise</w:t>
      </w:r>
    </w:p>
    <w:p>
      <w:pPr>
        <w:pStyle w:val="ListParagraph"/>
        <w:numPr>
          <w:ilvl w:val="0"/>
          <w:numId w:val="2"/>
        </w:numPr>
        <w:spacing w:after="80" w:line="276"/>
      </w:pPr>
      <w:r>
        <w:rPr>
          <w:rFonts w:ascii="Calibri" w:cs="Calibri" w:eastAsia="Calibri" w:hAnsi="Calibri"/>
          <w:color w:val="404040"/>
          <w:sz w:val="21"/>
          <w:szCs w:val="21"/>
        </w:rPr>
        <w:t xml:space="preserve">Remain a passive observer: do not participate in discussions, answer questions, or offer opinions. The observer never joins the exercise discussion.</w:t>
      </w:r>
    </w:p>
    <w:p>
      <w:pPr>
        <w:pStyle w:val="ListParagraph"/>
        <w:numPr>
          <w:ilvl w:val="0"/>
          <w:numId w:val="2"/>
        </w:numPr>
        <w:spacing w:after="80" w:line="276"/>
      </w:pPr>
      <w:r>
        <w:rPr>
          <w:rFonts w:ascii="Calibri" w:cs="Calibri" w:eastAsia="Calibri" w:hAnsi="Calibri"/>
          <w:color w:val="404040"/>
          <w:sz w:val="21"/>
          <w:szCs w:val="21"/>
        </w:rPr>
        <w:t xml:space="preserve">Document observations continuously using the structured note-taking template.</w:t>
      </w:r>
    </w:p>
    <w:p>
      <w:pPr>
        <w:pStyle w:val="ListParagraph"/>
        <w:numPr>
          <w:ilvl w:val="0"/>
          <w:numId w:val="2"/>
        </w:numPr>
        <w:spacing w:after="80" w:line="276"/>
      </w:pPr>
      <w:r>
        <w:rPr>
          <w:rFonts w:ascii="Calibri" w:cs="Calibri" w:eastAsia="Calibri" w:hAnsi="Calibri"/>
          <w:color w:val="404040"/>
          <w:sz w:val="21"/>
          <w:szCs w:val="21"/>
        </w:rPr>
        <w:t xml:space="preserve">Capture direct quotes when participants make significant statements (attribution to role, not name).</w:t>
      </w:r>
    </w:p>
    <w:p>
      <w:pPr>
        <w:pStyle w:val="ListParagraph"/>
        <w:numPr>
          <w:ilvl w:val="0"/>
          <w:numId w:val="2"/>
        </w:numPr>
        <w:spacing w:after="80" w:line="276"/>
      </w:pPr>
      <w:r>
        <w:rPr>
          <w:rFonts w:ascii="Calibri" w:cs="Calibri" w:eastAsia="Calibri" w:hAnsi="Calibri"/>
          <w:color w:val="404040"/>
          <w:sz w:val="21"/>
          <w:szCs w:val="21"/>
        </w:rPr>
        <w:t xml:space="preserve">Note body language, engagement levels, and group dynamics (in-person) or participation patterns and camera/audio engagement (virtual).</w:t>
      </w:r>
    </w:p>
    <w:p>
      <w:pPr>
        <w:pStyle w:val="ListParagraph"/>
        <w:numPr>
          <w:ilvl w:val="0"/>
          <w:numId w:val="2"/>
        </w:numPr>
        <w:spacing w:after="80" w:line="276"/>
      </w:pPr>
      <w:r>
        <w:rPr>
          <w:rFonts w:ascii="Calibri" w:cs="Calibri" w:eastAsia="Calibri" w:hAnsi="Calibri"/>
          <w:color w:val="404040"/>
          <w:sz w:val="21"/>
          <w:szCs w:val="21"/>
        </w:rPr>
        <w:t xml:space="preserve">Track time against the MSEL to note pace deviations.</w:t>
      </w:r>
    </w:p>
    <w:p>
      <w:pPr>
        <w:pStyle w:val="ListParagraph"/>
        <w:numPr>
          <w:ilvl w:val="0"/>
          <w:numId w:val="2"/>
        </w:numPr>
        <w:spacing w:after="80" w:line="276"/>
      </w:pPr>
      <w:r>
        <w:rPr>
          <w:rFonts w:ascii="Calibri" w:cs="Calibri" w:eastAsia="Calibri" w:hAnsi="Calibri"/>
          <w:color w:val="404040"/>
          <w:sz w:val="21"/>
          <w:szCs w:val="21"/>
        </w:rPr>
        <w:t xml:space="preserve">Flag observations to the facilitator (discreetly, via pre-arranged signal) if critical information is being missed or if participant distress is observed.</w:t>
      </w:r>
    </w:p>
    <w:p>
      <w:pPr>
        <w:pStyle w:val="Heading3"/>
        <w:keepNext/>
        <w:spacing w:after="90" w:before="200"/>
      </w:pPr>
      <w:r>
        <w:rPr>
          <w:rFonts w:ascii="Calibri" w:cs="Calibri" w:eastAsia="Calibri" w:hAnsi="Calibri"/>
          <w:b/>
          <w:bCs/>
          <w:color w:val="1F3864"/>
          <w:sz w:val="22"/>
          <w:szCs w:val="22"/>
        </w:rPr>
        <w:t xml:space="preserve">After the Exercise</w:t>
      </w:r>
    </w:p>
    <w:p>
      <w:pPr>
        <w:pStyle w:val="ListParagraph"/>
        <w:numPr>
          <w:ilvl w:val="0"/>
          <w:numId w:val="2"/>
        </w:numPr>
        <w:spacing w:after="80" w:line="276"/>
      </w:pPr>
      <w:r>
        <w:rPr>
          <w:rFonts w:ascii="Calibri" w:cs="Calibri" w:eastAsia="Calibri" w:hAnsi="Calibri"/>
          <w:color w:val="404040"/>
          <w:sz w:val="21"/>
          <w:szCs w:val="21"/>
        </w:rPr>
        <w:t xml:space="preserve">Participate in the facilitator debrief (separate from the participant hot wash).</w:t>
      </w:r>
    </w:p>
    <w:p>
      <w:pPr>
        <w:pStyle w:val="ListParagraph"/>
        <w:numPr>
          <w:ilvl w:val="0"/>
          <w:numId w:val="2"/>
        </w:numPr>
        <w:spacing w:after="80" w:line="276"/>
      </w:pPr>
      <w:r>
        <w:rPr>
          <w:rFonts w:ascii="Calibri" w:cs="Calibri" w:eastAsia="Calibri" w:hAnsi="Calibri"/>
          <w:color w:val="404040"/>
          <w:sz w:val="21"/>
          <w:szCs w:val="21"/>
        </w:rPr>
        <w:t xml:space="preserve">Compile and organize observation notes within 24 hours while memory is fresh.</w:t>
      </w:r>
    </w:p>
    <w:p>
      <w:pPr>
        <w:pStyle w:val="ListParagraph"/>
        <w:numPr>
          <w:ilvl w:val="0"/>
          <w:numId w:val="2"/>
        </w:numPr>
        <w:spacing w:after="80" w:line="276"/>
      </w:pPr>
      <w:r>
        <w:rPr>
          <w:rFonts w:ascii="Calibri" w:cs="Calibri" w:eastAsia="Calibri" w:hAnsi="Calibri"/>
          <w:color w:val="404040"/>
          <w:sz w:val="21"/>
          <w:szCs w:val="21"/>
        </w:rPr>
        <w:t xml:space="preserve">Highlight observations that support specific finding categories: gaps, strengths, decision points, communication patterns, authority confusion.</w:t>
      </w:r>
    </w:p>
    <w:p>
      <w:pPr>
        <w:pStyle w:val="ListParagraph"/>
        <w:numPr>
          <w:ilvl w:val="0"/>
          <w:numId w:val="2"/>
        </w:numPr>
        <w:spacing w:after="80" w:line="276"/>
      </w:pPr>
      <w:r>
        <w:rPr>
          <w:rFonts w:ascii="Calibri" w:cs="Calibri" w:eastAsia="Calibri" w:hAnsi="Calibri"/>
          <w:color w:val="404040"/>
          <w:sz w:val="21"/>
          <w:szCs w:val="21"/>
        </w:rPr>
        <w:t xml:space="preserve">Provide compiled notes to the facilitator as the primary AAR data source.</w:t>
      </w:r>
    </w:p>
    <w:p>
      <w:pPr>
        <w:pStyle w:val="ListParagraph"/>
        <w:numPr>
          <w:ilvl w:val="0"/>
          <w:numId w:val="2"/>
        </w:numPr>
        <w:spacing w:after="80" w:line="276"/>
      </w:pPr>
      <w:r>
        <w:rPr>
          <w:rFonts w:ascii="Calibri" w:cs="Calibri" w:eastAsia="Calibri" w:hAnsi="Calibri"/>
          <w:color w:val="404040"/>
          <w:sz w:val="21"/>
          <w:szCs w:val="21"/>
        </w:rPr>
        <w:t xml:space="preserve">Review the draft AAR for consistency with your observations before peer review.</w:t>
      </w:r>
    </w:p>
    <w:p>
      <w:pPr>
        <w:pStyle w:val="Heading2"/>
        <w:keepNext/>
        <w:spacing w:after="110" w:before="240"/>
      </w:pPr>
      <w:r>
        <w:rPr>
          <w:rFonts w:ascii="Calibri" w:cs="Calibri" w:eastAsia="Calibri" w:hAnsi="Calibri"/>
          <w:b/>
          <w:bCs/>
          <w:color w:val="2E74B5"/>
          <w:sz w:val="25"/>
          <w:szCs w:val="25"/>
        </w:rPr>
        <w:t xml:space="preserve">The Seven-Category Observation Framework</w:t>
      </w:r>
    </w:p>
    <w:p>
      <w:pPr>
        <w:spacing w:after="120" w:before="0" w:line="276"/>
      </w:pPr>
      <w:r>
        <w:rPr>
          <w:rFonts w:ascii="Calibri" w:cs="Calibri" w:eastAsia="Calibri" w:hAnsi="Calibri"/>
          <w:color w:val="404040"/>
          <w:sz w:val="21"/>
          <w:szCs w:val="21"/>
        </w:rPr>
        <w:t xml:space="preserve">Organize observations around these seven categories. Not every category will produce findings in every exercise.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900"/>
        <w:gridCol w:w="3730"/>
        <w:gridCol w:w="3730"/>
      </w:tblGrid>
      <w:tr>
        <w:trPr>
          <w:tblHeader/>
        </w:trPr>
        <w:tc>
          <w:tcPr>
            <w:tcW w:type="dxa" w:w="1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Observation Category</w:t>
            </w:r>
          </w:p>
        </w:tc>
        <w:tc>
          <w:tcPr>
            <w:tcW w:type="dxa" w:w="373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to Look For</w:t>
            </w:r>
          </w:p>
        </w:tc>
        <w:tc>
          <w:tcPr>
            <w:tcW w:type="dxa" w:w="373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Why It Matters</w:t>
            </w:r>
          </w:p>
        </w:tc>
      </w:tr>
      <w:tr>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Decision-making</w:t>
            </w:r>
          </w:p>
        </w:tc>
        <w:tc>
          <w:tcPr>
            <w:tcW w:type="dxa" w:w="373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Who makes decisions? How quickly? With what authority? Do participants defer, debate, or decide? Are decisions documented?</w:t>
            </w:r>
          </w:p>
        </w:tc>
        <w:tc>
          <w:tcPr>
            <w:tcW w:type="dxa" w:w="373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Reveals whether decision authority is clear, whether escalation thresholds are understood, and whether the organization can act under pressure.</w:t>
            </w:r>
          </w:p>
        </w:tc>
      </w:tr>
      <w:tr>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Communication</w:t>
            </w:r>
          </w:p>
        </w:tc>
        <w:tc>
          <w:tcPr>
            <w:tcW w:type="dxa" w:w="373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Who communicates with whom? Through what channels? How quickly does information flow? Are there communication gaps or bottlenecks?</w:t>
            </w:r>
          </w:p>
        </w:tc>
        <w:tc>
          <w:tcPr>
            <w:tcW w:type="dxa" w:w="373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Reveals whether communication plans exist and function, whether information reaches the right people, and whether messaging is consistent.</w:t>
            </w:r>
          </w:p>
        </w:tc>
      </w:tr>
      <w:tr>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Plan reference</w:t>
            </w:r>
          </w:p>
        </w:tc>
        <w:tc>
          <w:tcPr>
            <w:tcW w:type="dxa" w:w="373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 participants reference documented plans (IR plan, BC plan, communication plan)? Can they locate the plans? Do they follow them?</w:t>
            </w:r>
          </w:p>
        </w:tc>
        <w:tc>
          <w:tcPr>
            <w:tcW w:type="dxa" w:w="373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Reveals whether documented plans are known, accessible, tested, and current. Absence of plan reference is a significant observation.</w:t>
            </w:r>
          </w:p>
        </w:tc>
      </w:tr>
      <w:tr>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Role clarity</w:t>
            </w:r>
          </w:p>
        </w:tc>
        <w:tc>
          <w:tcPr>
            <w:tcW w:type="dxa" w:w="373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 participants understand their roles during an incident? Is there confusion about responsibilities? Do multiple people claim the same authority?</w:t>
            </w:r>
          </w:p>
        </w:tc>
        <w:tc>
          <w:tcPr>
            <w:tcW w:type="dxa" w:w="373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Reveals whether roles and responsibilities are documented, communicated, and understood. Role confusion under simulation predicts role confusion under stress.</w:t>
            </w:r>
          </w:p>
        </w:tc>
      </w:tr>
      <w:tr>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Knowledge gaps</w:t>
            </w:r>
          </w:p>
        </w:tc>
        <w:tc>
          <w:tcPr>
            <w:tcW w:type="dxa" w:w="373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do participants not know? What questions can they not answer? Where do they guess rather than reference a procedure?</w:t>
            </w:r>
          </w:p>
        </w:tc>
        <w:tc>
          <w:tcPr>
            <w:tcW w:type="dxa" w:w="373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Reveals training gaps, documentation gaps, and areas where institutional knowledge is concentrated in individuals rather than processes.</w:t>
            </w:r>
          </w:p>
        </w:tc>
      </w:tr>
      <w:tr>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Group dynamics</w:t>
            </w:r>
          </w:p>
        </w:tc>
        <w:tc>
          <w:tcPr>
            <w:tcW w:type="dxa" w:w="373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Who dominates? Who is silent? Are all functional areas contributing? Is there deference to hierarchy? Is there constructive challenge?</w:t>
            </w:r>
          </w:p>
        </w:tc>
        <w:tc>
          <w:tcPr>
            <w:tcW w:type="dxa" w:w="373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Reveals whether the exercise captures genuine organizational behavior or whether participants are performing for the facilitator.</w:t>
            </w:r>
          </w:p>
        </w:tc>
      </w:tr>
      <w:tr>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Strengths</w:t>
            </w:r>
          </w:p>
        </w:tc>
        <w:tc>
          <w:tcPr>
            <w:tcW w:type="dxa" w:w="373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works well? Where do participants demonstrate confidence, competence, and coordination? What capabilities are clearly practiced?</w:t>
            </w:r>
          </w:p>
        </w:tc>
        <w:tc>
          <w:tcPr>
            <w:tcW w:type="dxa" w:w="373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Ensures the AAR documents what the organization does right with the same rigor as what needs improvement.</w:t>
            </w:r>
          </w:p>
        </w:tc>
      </w:tr>
    </w:tbl>
    <w:p>
      <w:pPr>
        <w:spacing w:after="120"/>
      </w:pPr>
    </w:p>
    <w:p>
      <w:pPr>
        <w:pStyle w:val="Heading2"/>
        <w:keepNext/>
        <w:spacing w:after="110" w:before="240"/>
      </w:pPr>
      <w:r>
        <w:rPr>
          <w:rFonts w:ascii="Calibri" w:cs="Calibri" w:eastAsia="Calibri" w:hAnsi="Calibri"/>
          <w:b/>
          <w:bCs/>
          <w:color w:val="2E74B5"/>
          <w:sz w:val="25"/>
          <w:szCs w:val="25"/>
        </w:rPr>
        <w:t xml:space="preserve">Observer Ethics and Boundaries</w:t>
      </w:r>
    </w:p>
    <w:p>
      <w:pPr>
        <w:pStyle w:val="ListParagraph"/>
        <w:numPr>
          <w:ilvl w:val="0"/>
          <w:numId w:val="2"/>
        </w:numPr>
        <w:spacing w:after="80" w:line="276"/>
      </w:pPr>
      <w:r>
        <w:rPr>
          <w:rFonts w:ascii="Calibri" w:cs="Calibri" w:eastAsia="Calibri" w:hAnsi="Calibri"/>
          <w:color w:val="404040"/>
          <w:sz w:val="21"/>
          <w:szCs w:val="21"/>
        </w:rPr>
        <w:t xml:space="preserve">Observations describe organizational capabilities, never individual performance. The observer note “No one knew the escalation threshold” is an organizational observation. “John didn't know the escalation threshold” is an individual judgment that does not belong in the notes.</w:t>
      </w:r>
    </w:p>
    <w:p>
      <w:pPr>
        <w:pStyle w:val="ListParagraph"/>
        <w:numPr>
          <w:ilvl w:val="0"/>
          <w:numId w:val="2"/>
        </w:numPr>
        <w:spacing w:after="80" w:line="276"/>
      </w:pPr>
      <w:r>
        <w:rPr>
          <w:rFonts w:ascii="Calibri" w:cs="Calibri" w:eastAsia="Calibri" w:hAnsi="Calibri"/>
          <w:color w:val="404040"/>
          <w:sz w:val="21"/>
          <w:szCs w:val="21"/>
        </w:rPr>
        <w:t xml:space="preserve">If a participant appears distressed, emotionally affected by the scenario, or discloses personal information during the exercise, note the situation for the facilitator but do not document the personal content.</w:t>
      </w:r>
    </w:p>
    <w:p>
      <w:pPr>
        <w:pStyle w:val="ListParagraph"/>
        <w:numPr>
          <w:ilvl w:val="0"/>
          <w:numId w:val="2"/>
        </w:numPr>
        <w:spacing w:after="80" w:line="276"/>
      </w:pPr>
      <w:r>
        <w:rPr>
          <w:rFonts w:ascii="Calibri" w:cs="Calibri" w:eastAsia="Calibri" w:hAnsi="Calibri"/>
          <w:color w:val="404040"/>
          <w:sz w:val="21"/>
          <w:szCs w:val="21"/>
        </w:rPr>
        <w:t xml:space="preserve">Observer notes are confidential working documents. They are not distributed to participants or the client. Only the synthesized findings appear in the AAR.</w:t>
      </w:r>
    </w:p>
    <w:p>
      <w:pPr>
        <w:pStyle w:val="ListParagraph"/>
        <w:numPr>
          <w:ilvl w:val="0"/>
          <w:numId w:val="2"/>
        </w:numPr>
        <w:spacing w:after="80" w:line="276"/>
      </w:pPr>
      <w:r>
        <w:rPr>
          <w:rFonts w:ascii="Calibri" w:cs="Calibri" w:eastAsia="Calibri" w:hAnsi="Calibri"/>
          <w:color w:val="404040"/>
          <w:sz w:val="21"/>
          <w:szCs w:val="21"/>
        </w:rPr>
        <w:t xml:space="preserve">If you observe a genuine security concern during the exercise (not a simulated one), alert the facilitator immediately per the Real Incident During Exercise Protocol in the Facilitator Guide (05 - Deliver folder).</w:t>
      </w:r>
    </w:p>
    <w:p>
      <w:pPr>
        <w:pStyle w:val="Heading2"/>
        <w:keepNext/>
        <w:spacing w:after="110" w:before="240"/>
      </w:pPr>
      <w:r>
        <w:rPr>
          <w:rFonts w:ascii="Calibri" w:cs="Calibri" w:eastAsia="Calibri" w:hAnsi="Calibri"/>
          <w:b/>
          <w:bCs/>
          <w:color w:val="2E74B5"/>
          <w:sz w:val="25"/>
          <w:szCs w:val="25"/>
        </w:rPr>
        <w:t xml:space="preserve">Observer Notes: Handling and Disposition</w:t>
      </w:r>
    </w:p>
    <w:p>
      <w:pPr>
        <w:spacing w:after="120" w:before="0" w:line="276"/>
      </w:pPr>
      <w:r>
        <w:rPr>
          <w:rFonts w:ascii="Calibri" w:cs="Calibri" w:eastAsia="Calibri" w:hAnsi="Calibri"/>
          <w:color w:val="404040"/>
          <w:sz w:val="21"/>
          <w:szCs w:val="21"/>
        </w:rPr>
        <w:t xml:space="preserve">Observer notes are confidential working documents used solely to develop the After-Action Report. They contain raw, unfiltered observations that are more detailed and potentially more sensitive than the synthesized AAR findings. The following handling requirements apply:</w:t>
      </w:r>
    </w:p>
    <w:p>
      <w:pPr>
        <w:pStyle w:val="ListParagraph"/>
        <w:numPr>
          <w:ilvl w:val="0"/>
          <w:numId w:val="2"/>
        </w:numPr>
        <w:spacing w:after="80" w:line="276"/>
      </w:pPr>
      <w:r>
        <w:rPr>
          <w:rFonts w:ascii="Calibri" w:cs="Calibri" w:eastAsia="Calibri" w:hAnsi="Calibri"/>
          <w:color w:val="404040"/>
          <w:sz w:val="21"/>
          <w:szCs w:val="21"/>
        </w:rPr>
        <w:t xml:space="preserve">Observer notes shall not be distributed to participants, client staff, or any person outside the exercise delivery team.</w:t>
      </w:r>
    </w:p>
    <w:p>
      <w:pPr>
        <w:pStyle w:val="ListParagraph"/>
        <w:numPr>
          <w:ilvl w:val="0"/>
          <w:numId w:val="2"/>
        </w:numPr>
        <w:spacing w:after="80" w:line="276"/>
      </w:pPr>
      <w:r>
        <w:rPr>
          <w:rFonts w:ascii="Calibri" w:cs="Calibri" w:eastAsia="Calibri" w:hAnsi="Calibri"/>
          <w:color w:val="404040"/>
          <w:sz w:val="21"/>
          <w:szCs w:val="21"/>
        </w:rPr>
        <w:t xml:space="preserve">Observer notes shall be stored securely and separately from client-facing deliverables during the AAR development period.</w:t>
      </w:r>
    </w:p>
    <w:p>
      <w:pPr>
        <w:pStyle w:val="ListParagraph"/>
        <w:numPr>
          <w:ilvl w:val="0"/>
          <w:numId w:val="2"/>
        </w:numPr>
        <w:spacing w:after="80" w:line="276"/>
      </w:pPr>
      <w:r>
        <w:rPr>
          <w:rFonts w:ascii="Calibri" w:cs="Calibri" w:eastAsia="Calibri" w:hAnsi="Calibri"/>
          <w:color w:val="404040"/>
          <w:sz w:val="21"/>
          <w:szCs w:val="21"/>
        </w:rPr>
        <w:t xml:space="preserve">After the final AAR has been delivered and accepted by the client, and after the peer review process is complete, observer notes must be destroyed securely per the engagement's data handling terms in the SOW. Document the destruction date in the engagement file.</w:t>
      </w:r>
    </w:p>
    <w:p>
      <w:pPr>
        <w:pStyle w:val="ListParagraph"/>
        <w:numPr>
          <w:ilvl w:val="0"/>
          <w:numId w:val="2"/>
        </w:numPr>
        <w:spacing w:after="80" w:line="276"/>
      </w:pPr>
      <w:r>
        <w:rPr>
          <w:rFonts w:ascii="Calibri" w:cs="Calibri" w:eastAsia="Calibri" w:hAnsi="Calibri"/>
          <w:color w:val="404040"/>
          <w:sz w:val="21"/>
          <w:szCs w:val="21"/>
        </w:rPr>
        <w:t xml:space="preserve">If the engagement is conducted under attorney-client privilege, observer notes should be marked as privileged and retained or destroyed per counsel's direction.</w:t>
      </w:r>
    </w:p>
    <w:p>
      <w:pPr>
        <w:pStyle w:val="ListParagraph"/>
        <w:numPr>
          <w:ilvl w:val="0"/>
          <w:numId w:val="2"/>
        </w:numPr>
        <w:spacing w:after="80" w:line="276"/>
      </w:pPr>
      <w:r>
        <w:rPr>
          <w:rFonts w:ascii="Calibri" w:cs="Calibri" w:eastAsia="Calibri" w:hAnsi="Calibri"/>
          <w:color w:val="404040"/>
          <w:sz w:val="21"/>
          <w:szCs w:val="21"/>
        </w:rPr>
        <w:t xml:space="preserve">If observer notes are subpoenaed or requested in legal proceedings, do not produce them without consulting legal counsel first. Notify the client exercise coordinator immediately.</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NNOTE: Why This Matters</w:t>
            </w:r>
          </w:p>
          <w:p>
            <w:pPr>
              <w:spacing w:after="40" w:before="0" w:line="276"/>
            </w:pPr>
            <w:r>
              <w:rPr>
                <w:rFonts w:ascii="Calibri" w:cs="Calibri" w:eastAsia="Calibri" w:hAnsi="Calibri"/>
                <w:color w:val="404040"/>
                <w:sz w:val="20"/>
                <w:szCs w:val="20"/>
              </w:rPr>
              <w:t xml:space="preserve">Observer notes contain direct quotes attributed to roles, behavioral observations, and unfiltered assessments that are significantly more sensitive than the AAR's synthesized findings. Proper handling and timely destruction protect both the practitioner and the client from unintended disclosure.</w:t>
            </w:r>
          </w:p>
        </w:tc>
      </w:tr>
    </w:tbl>
    <w:p>
      <w:r>
        <w:br w:type="page"/>
      </w:r>
    </w:p>
    <w:p>
      <w:pPr>
        <w:pStyle w:val="Heading1"/>
        <w:keepNext/>
        <w:spacing w:after="140" w:before="320"/>
      </w:pPr>
      <w:r>
        <w:rPr>
          <w:rFonts w:ascii="Calibri" w:cs="Calibri" w:eastAsia="Calibri" w:hAnsi="Calibri"/>
          <w:b/>
          <w:bCs/>
          <w:color w:val="1F3864"/>
          <w:sz w:val="30"/>
          <w:szCs w:val="30"/>
        </w:rPr>
        <w:t xml:space="preserve">Part 2: Observer Note-Taking Template</w:t>
      </w:r>
    </w:p>
    <w:p>
      <w:pPr>
        <w:pStyle w:val="Heading2"/>
        <w:keepNext/>
        <w:spacing w:after="110" w:before="240"/>
      </w:pPr>
      <w:r>
        <w:rPr>
          <w:rFonts w:ascii="Calibri" w:cs="Calibri" w:eastAsia="Calibri" w:hAnsi="Calibri"/>
          <w:b/>
          <w:bCs/>
          <w:color w:val="2E74B5"/>
          <w:sz w:val="25"/>
          <w:szCs w:val="25"/>
        </w:rPr>
        <w:t xml:space="preserve">Exercise Information</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title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[TITLE]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NAME]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Observer</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TITLE]</w:t>
            </w:r>
          </w:p>
        </w:tc>
      </w:tr>
    </w:tbl>
    <w:p>
      <w:pPr>
        <w:spacing w:after="120"/>
      </w:pPr>
    </w:p>
    <w:p>
      <w:pPr>
        <w:pStyle w:val="Heading2"/>
        <w:keepNext/>
        <w:spacing w:after="110" w:before="240"/>
      </w:pPr>
      <w:r>
        <w:rPr>
          <w:rFonts w:ascii="Calibri" w:cs="Calibri" w:eastAsia="Calibri" w:hAnsi="Calibri"/>
          <w:b/>
          <w:bCs/>
          <w:color w:val="2E74B5"/>
          <w:sz w:val="25"/>
          <w:szCs w:val="25"/>
        </w:rPr>
        <w:t xml:space="preserve">Exercise Objectives Quick Reference</w:t>
      </w:r>
    </w:p>
    <w:p>
      <w:pPr>
        <w:spacing w:after="120" w:before="0" w:line="276"/>
      </w:pPr>
      <w:r>
        <w:rPr>
          <w:rFonts w:ascii="Calibri" w:cs="Calibri" w:eastAsia="Calibri" w:hAnsi="Calibri"/>
          <w:color w:val="404040"/>
          <w:sz w:val="21"/>
          <w:szCs w:val="21"/>
        </w:rPr>
        <w:t xml:space="preserve">Pre-populate from the Planning Workbook (03 - Plan folder), Section 2, before the exercise.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4300"/>
        <w:gridCol w:w="436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Obj #</w:t>
            </w:r>
          </w:p>
        </w:tc>
        <w:tc>
          <w:tcPr>
            <w:tcW w:type="dxa" w:w="4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Objective Summary</w:t>
            </w:r>
          </w:p>
        </w:tc>
        <w:tc>
          <w:tcPr>
            <w:tcW w:type="dxa" w:w="43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Key Indicators to Watch</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4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[Objective 1 summary]</w:t>
            </w:r>
          </w:p>
        </w:tc>
        <w:tc>
          <w:tcPr>
            <w:tcW w:type="dxa" w:w="43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observable behaviors indicate success or gap]</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4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[Objective 2 summary]</w:t>
            </w:r>
          </w:p>
        </w:tc>
        <w:tc>
          <w:tcPr>
            <w:tcW w:type="dxa" w:w="43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[Indicators]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4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[Objective 3 summary]</w:t>
            </w:r>
          </w:p>
        </w:tc>
        <w:tc>
          <w:tcPr>
            <w:tcW w:type="dxa" w:w="43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[Indicators]</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4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[Objective 4 summary, if applicable]</w:t>
            </w:r>
          </w:p>
        </w:tc>
        <w:tc>
          <w:tcPr>
            <w:tcW w:type="dxa" w:w="43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[Indicators]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4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[Objective 5 summary, if applicable]</w:t>
            </w:r>
          </w:p>
        </w:tc>
        <w:tc>
          <w:tcPr>
            <w:tcW w:type="dxa" w:w="43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[Indicators]</w:t>
            </w:r>
          </w:p>
        </w:tc>
      </w:tr>
    </w:tbl>
    <w:p>
      <w:pPr>
        <w:spacing w:after="120"/>
      </w:pPr>
    </w:p>
    <w:p>
      <w:pPr>
        <w:pStyle w:val="Heading2"/>
        <w:keepNext/>
        <w:spacing w:after="110" w:before="240"/>
      </w:pPr>
      <w:r>
        <w:rPr>
          <w:rFonts w:ascii="Calibri" w:cs="Calibri" w:eastAsia="Calibri" w:hAnsi="Calibri"/>
          <w:b/>
          <w:bCs/>
          <w:color w:val="2E74B5"/>
          <w:sz w:val="25"/>
          <w:szCs w:val="25"/>
        </w:rPr>
        <w:t xml:space="preserve">Chronological Observation Log</w:t>
      </w:r>
    </w:p>
    <w:p>
      <w:pPr>
        <w:spacing w:after="120" w:before="0" w:line="276"/>
      </w:pPr>
      <w:r>
        <w:rPr>
          <w:rFonts w:ascii="Calibri" w:cs="Calibri" w:eastAsia="Calibri" w:hAnsi="Calibri"/>
          <w:color w:val="404040"/>
          <w:sz w:val="21"/>
          <w:szCs w:val="21"/>
        </w:rPr>
        <w:t xml:space="preserve">Record observations in real time as the exercise progresses. Capture the time, the inject or discussion trigger, what was observed, and a preliminary category code. Attribute observations to functional roles, not individual names.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800"/>
        <w:gridCol w:w="1600"/>
        <w:gridCol w:w="4560"/>
        <w:gridCol w:w="1300"/>
        <w:gridCol w:w="1100"/>
      </w:tblGrid>
      <w:tr>
        <w:trPr>
          <w:tblHeader/>
        </w:trPr>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16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 / Trigger</w:t>
            </w:r>
          </w:p>
        </w:tc>
        <w:tc>
          <w:tcPr>
            <w:tcW w:type="dxa" w:w="45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Observation</w:t>
            </w:r>
          </w:p>
        </w:tc>
        <w:tc>
          <w:tcPr>
            <w:tcW w:type="dxa" w:w="1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Category</w:t>
            </w:r>
          </w:p>
        </w:tc>
        <w:tc>
          <w:tcPr>
            <w:tcW w:type="dxa" w:w="1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Obj #</w:t>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4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2"/>
        <w:keepNext/>
        <w:spacing w:after="110" w:before="240"/>
      </w:pPr>
      <w:r>
        <w:rPr>
          <w:rFonts w:ascii="Calibri" w:cs="Calibri" w:eastAsia="Calibri" w:hAnsi="Calibri"/>
          <w:b/>
          <w:bCs/>
          <w:color w:val="2E74B5"/>
          <w:sz w:val="25"/>
          <w:szCs w:val="25"/>
        </w:rPr>
        <w:t xml:space="preserve">Category Reference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1900"/>
        <w:gridCol w:w="676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Code</w:t>
            </w:r>
          </w:p>
        </w:tc>
        <w:tc>
          <w:tcPr>
            <w:tcW w:type="dxa" w:w="1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Category</w:t>
            </w:r>
          </w:p>
        </w:tc>
        <w:tc>
          <w:tcPr>
            <w:tcW w:type="dxa" w:w="67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to Capture</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DM</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Decision-Making</w:t>
            </w:r>
          </w:p>
        </w:tc>
        <w:tc>
          <w:tcPr>
            <w:tcW w:type="dxa" w:w="6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Who decided, how quickly, with what authority, what information was used</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CM</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Communication</w:t>
            </w:r>
          </w:p>
        </w:tc>
        <w:tc>
          <w:tcPr>
            <w:tcW w:type="dxa" w:w="6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Who communicated to whom, through what channel, how effectively</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Plan Reference</w:t>
            </w:r>
          </w:p>
        </w:tc>
        <w:tc>
          <w:tcPr>
            <w:tcW w:type="dxa" w:w="6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Whether documented plans were referenced, located, and followed</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RC</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Role Clarity</w:t>
            </w:r>
          </w:p>
        </w:tc>
        <w:tc>
          <w:tcPr>
            <w:tcW w:type="dxa" w:w="6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Whether roles and responsibilities were understood without confusion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KG</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Knowledge Gap</w:t>
            </w:r>
          </w:p>
        </w:tc>
        <w:tc>
          <w:tcPr>
            <w:tcW w:type="dxa" w:w="6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participants did not know or could not answer</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GD</w:t>
            </w:r>
          </w:p>
        </w:tc>
        <w:tc>
          <w:tcPr>
            <w:tcW w:type="dxa" w:w="1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Group Dynamics</w:t>
            </w:r>
          </w:p>
        </w:tc>
        <w:tc>
          <w:tcPr>
            <w:tcW w:type="dxa" w:w="6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Dominance, silence, deference, constructive challenge, engagement</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w:t>
            </w:r>
          </w:p>
        </w:tc>
        <w:tc>
          <w:tcPr>
            <w:tcW w:type="dxa" w:w="1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Strength</w:t>
            </w:r>
          </w:p>
        </w:tc>
        <w:tc>
          <w:tcPr>
            <w:tcW w:type="dxa" w:w="6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Demonstrated capabilities, effective actions, competence</w:t>
            </w:r>
          </w:p>
        </w:tc>
      </w:tr>
    </w:tbl>
    <w:p>
      <w:pPr>
        <w:spacing w:after="120"/>
      </w:pPr>
    </w:p>
    <w:p>
      <w:pPr>
        <w:pStyle w:val="Heading2"/>
        <w:keepNext/>
        <w:spacing w:after="110" w:before="240"/>
      </w:pPr>
      <w:r>
        <w:rPr>
          <w:rFonts w:ascii="Calibri" w:cs="Calibri" w:eastAsia="Calibri" w:hAnsi="Calibri"/>
          <w:b/>
          <w:bCs/>
          <w:color w:val="2E74B5"/>
          <w:sz w:val="25"/>
          <w:szCs w:val="25"/>
        </w:rPr>
        <w:t xml:space="preserve">Key Decision Points</w:t>
      </w:r>
    </w:p>
    <w:p>
      <w:pPr>
        <w:spacing w:after="120" w:before="0" w:line="276"/>
      </w:pPr>
      <w:r>
        <w:rPr>
          <w:rFonts w:ascii="Calibri" w:cs="Calibri" w:eastAsia="Calibri" w:hAnsi="Calibri"/>
          <w:color w:val="404040"/>
          <w:sz w:val="21"/>
          <w:szCs w:val="21"/>
        </w:rPr>
        <w:t xml:space="preserve">Record the 3–5 most significant decision points during the exercise. These often become the core of AAR findings.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500"/>
        <w:gridCol w:w="800"/>
        <w:gridCol w:w="2300"/>
        <w:gridCol w:w="1500"/>
        <w:gridCol w:w="2200"/>
        <w:gridCol w:w="2060"/>
      </w:tblGrid>
      <w:tr>
        <w:trPr>
          <w:tblHeader/>
        </w:trPr>
        <w:tc>
          <w:tcPr>
            <w:tcW w:type="dxa" w:w="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2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Was Decided</w:t>
            </w:r>
          </w:p>
        </w:tc>
        <w:tc>
          <w:tcPr>
            <w:tcW w:type="dxa" w:w="1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By Whom (Role)</w:t>
            </w:r>
          </w:p>
        </w:tc>
        <w:tc>
          <w:tcPr>
            <w:tcW w:type="dxa" w:w="2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Alternatives Discussed</w:t>
            </w:r>
          </w:p>
        </w:tc>
        <w:tc>
          <w:tcPr>
            <w:tcW w:type="dxa" w:w="2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Observation</w:t>
            </w:r>
          </w:p>
        </w:tc>
      </w:tr>
      <w:tr>
        <w:tc>
          <w:tcPr>
            <w:tcW w:type="dxa" w:w="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2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2"/>
        <w:keepNext/>
        <w:spacing w:after="110" w:before="240"/>
      </w:pPr>
      <w:r>
        <w:rPr>
          <w:rFonts w:ascii="Calibri" w:cs="Calibri" w:eastAsia="Calibri" w:hAnsi="Calibri"/>
          <w:b/>
          <w:bCs/>
          <w:color w:val="2E74B5"/>
          <w:sz w:val="25"/>
          <w:szCs w:val="25"/>
        </w:rPr>
        <w:t xml:space="preserve">Hot Wash Notes</w:t>
      </w:r>
    </w:p>
    <w:p>
      <w:pPr>
        <w:spacing w:after="120" w:before="0" w:line="276"/>
      </w:pPr>
      <w:r>
        <w:rPr>
          <w:rFonts w:ascii="Calibri" w:cs="Calibri" w:eastAsia="Calibri" w:hAnsi="Calibri"/>
          <w:color w:val="404040"/>
          <w:sz w:val="21"/>
          <w:szCs w:val="21"/>
        </w:rPr>
        <w:t xml:space="preserve">Capture participant comments during the post-exercise debrief. These are valuable context for the AAR.</w:t>
      </w:r>
    </w:p>
    <w:p>
      <w:pPr>
        <w:pStyle w:val="Heading3"/>
        <w:keepNext/>
        <w:spacing w:after="90" w:before="200"/>
      </w:pPr>
      <w:r>
        <w:rPr>
          <w:rFonts w:ascii="Calibri" w:cs="Calibri" w:eastAsia="Calibri" w:hAnsi="Calibri"/>
          <w:b/>
          <w:bCs/>
          <w:color w:val="1F3864"/>
          <w:sz w:val="22"/>
          <w:szCs w:val="22"/>
        </w:rPr>
        <w:t xml:space="preserve">What worked well? (Participant responses)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69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Participant Role</w:t>
            </w:r>
          </w:p>
        </w:tc>
        <w:tc>
          <w:tcPr>
            <w:tcW w:type="dxa" w:w="6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Comment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3"/>
        <w:keepNext/>
        <w:spacing w:after="90" w:before="200"/>
      </w:pPr>
      <w:r>
        <w:rPr>
          <w:rFonts w:ascii="Calibri" w:cs="Calibri" w:eastAsia="Calibri" w:hAnsi="Calibri"/>
          <w:b/>
          <w:bCs/>
          <w:color w:val="1F3864"/>
          <w:sz w:val="22"/>
          <w:szCs w:val="22"/>
        </w:rPr>
        <w:t xml:space="preserve">What surprised you? (Participant responses)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69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Participant Role</w:t>
            </w:r>
          </w:p>
        </w:tc>
        <w:tc>
          <w:tcPr>
            <w:tcW w:type="dxa" w:w="6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Comment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3"/>
        <w:keepNext/>
        <w:spacing w:after="90" w:before="200"/>
      </w:pPr>
      <w:r>
        <w:rPr>
          <w:rFonts w:ascii="Calibri" w:cs="Calibri" w:eastAsia="Calibri" w:hAnsi="Calibri"/>
          <w:b/>
          <w:bCs/>
          <w:color w:val="1F3864"/>
          <w:sz w:val="22"/>
          <w:szCs w:val="22"/>
        </w:rPr>
        <w:t xml:space="preserve">What would you do differently? (Participant responses)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69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Participant Role</w:t>
            </w:r>
          </w:p>
        </w:tc>
        <w:tc>
          <w:tcPr>
            <w:tcW w:type="dxa" w:w="6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Comment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c>
          <w:tcPr>
            <w:tcW w:type="dxa" w:w="6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2"/>
        <w:keepNext/>
        <w:spacing w:after="110" w:before="240"/>
      </w:pPr>
      <w:r>
        <w:rPr>
          <w:rFonts w:ascii="Calibri" w:cs="Calibri" w:eastAsia="Calibri" w:hAnsi="Calibri"/>
          <w:b/>
          <w:bCs/>
          <w:color w:val="2E74B5"/>
          <w:sz w:val="25"/>
          <w:szCs w:val="25"/>
        </w:rPr>
        <w:t xml:space="preserve">Observer Post-Exercise Summary</w:t>
      </w:r>
    </w:p>
    <w:p>
      <w:pPr>
        <w:spacing w:after="120" w:before="0" w:line="276"/>
      </w:pPr>
      <w:r>
        <w:rPr>
          <w:rFonts w:ascii="Calibri" w:cs="Calibri" w:eastAsia="Calibri" w:hAnsi="Calibri"/>
          <w:color w:val="404040"/>
          <w:sz w:val="21"/>
          <w:szCs w:val="21"/>
        </w:rPr>
        <w:t xml:space="preserve">Complete within 24 hours of the exercise while observations are fresh.</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400"/>
        <w:gridCol w:w="5960"/>
      </w:tblGrid>
      <w:tr>
        <w:trPr>
          <w:tblHeader/>
        </w:trPr>
        <w:tc>
          <w:tcPr>
            <w:tcW w:type="dxa" w:w="3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5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Notes</w:t>
            </w:r>
          </w:p>
        </w:tc>
      </w:tr>
      <w:tr>
        <w:tc>
          <w:tcPr>
            <w:tcW w:type="dxa" w:w="3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Top 3 strengths observed</w:t>
            </w:r>
          </w:p>
        </w:tc>
        <w:tc>
          <w:tcPr>
            <w:tcW w:type="dxa" w:w="5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Top 3 gaps observed</w:t>
            </w:r>
          </w:p>
        </w:tc>
        <w:tc>
          <w:tcPr>
            <w:tcW w:type="dxa" w:w="5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Observations requiring sensitive handling (flag for the facilitator; handle per the ethics and boundaries guidance in Part 1)</w:t>
            </w:r>
          </w:p>
        </w:tc>
        <w:tc>
          <w:tcPr>
            <w:tcW w:type="dxa" w:w="5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Participant engagement assessment (high / mixed / low)</w:t>
            </w:r>
          </w:p>
        </w:tc>
        <w:tc>
          <w:tcPr>
            <w:tcW w:type="dxa" w:w="5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effectiveness (realistic / somewhat realistic / needs adjustment)</w:t>
            </w:r>
          </w:p>
        </w:tc>
        <w:tc>
          <w:tcPr>
            <w:tcW w:type="dxa" w:w="5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Facilitation notes for AAR discussion with the facilitator</w:t>
            </w:r>
          </w:p>
        </w:tc>
        <w:tc>
          <w:tcPr>
            <w:tcW w:type="dxa" w:w="5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3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Anything the facilitator may have missed (from the observer's vantage point)</w:t>
            </w:r>
          </w:p>
        </w:tc>
        <w:tc>
          <w:tcPr>
            <w:tcW w:type="dxa" w:w="5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NNOTE: Data Handling Notice</w:t>
            </w:r>
          </w:p>
          <w:p>
            <w:pPr>
              <w:spacing w:after="40" w:before="0" w:line="276"/>
            </w:pPr>
            <w:r>
              <w:rPr>
                <w:rFonts w:ascii="Calibri" w:cs="Calibri" w:eastAsia="Calibri" w:hAnsi="Calibri"/>
                <w:color w:val="404040"/>
                <w:sz w:val="20"/>
                <w:szCs w:val="20"/>
              </w:rPr>
              <w:t xml:space="preserve">Information collected through this template will be: (a) used solely for the purpose of planning, delivering, and evaluating this Pulse Check engagement; (b) stored securely and accessible only to the exercise delivery team (lead facilitator and observer); (c) retained for the duration specified in the engagement's data handling terms in the Statement of Work; and (d) destroyed securely at the end of the retention period. All information is protected under the Mutual Non-Disclosure Agreement between the parties.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Observer Kit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2026-07-14T19:57:46.376Z</dcterms:created>
  <dcterms:modified xsi:type="dcterms:W3CDTF">2026-07-14T19:57:46.376Z</dcterms:modified>
</cp:coreProperties>
</file>

<file path=docProps/custom.xml><?xml version="1.0" encoding="utf-8"?>
<Properties xmlns="http://schemas.openxmlformats.org/officeDocument/2006/custom-properties" xmlns:vt="http://schemas.openxmlformats.org/officeDocument/2006/docPropsVTypes"/>
</file>